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A6" w:rsidRDefault="00B50EA6" w:rsidP="00B50EA6">
      <w:pPr>
        <w:pStyle w:val="a9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-548640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EA6" w:rsidRPr="001828A5" w:rsidRDefault="00B50EA6" w:rsidP="001828A5">
      <w:pPr>
        <w:pStyle w:val="a9"/>
        <w:jc w:val="center"/>
        <w:rPr>
          <w:b/>
          <w:bCs/>
          <w:sz w:val="32"/>
          <w:szCs w:val="32"/>
        </w:rPr>
      </w:pPr>
      <w:r w:rsidRPr="00CF0012">
        <w:rPr>
          <w:b/>
          <w:bCs/>
          <w:sz w:val="32"/>
          <w:szCs w:val="32"/>
        </w:rPr>
        <w:t>ПОСТАНОВЛЕНИЕ</w:t>
      </w:r>
    </w:p>
    <w:p w:rsidR="00B50EA6" w:rsidRDefault="00395941" w:rsidP="001828A5">
      <w:pPr>
        <w:pStyle w:val="a9"/>
        <w:ind w:left="-56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</w:t>
      </w:r>
      <w:r w:rsidR="00D567C6">
        <w:rPr>
          <w:b/>
          <w:bCs/>
          <w:szCs w:val="28"/>
        </w:rPr>
        <w:t>ЕЗДОЧЕНСКОГО</w:t>
      </w:r>
      <w:r w:rsidR="00B50EA6">
        <w:rPr>
          <w:b/>
          <w:bCs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8A4E6E" w:rsidRDefault="008A4E6E" w:rsidP="00B50EA6">
      <w:pPr>
        <w:rPr>
          <w:b/>
          <w:sz w:val="28"/>
          <w:szCs w:val="28"/>
        </w:rPr>
      </w:pPr>
    </w:p>
    <w:p w:rsidR="008A4E6E" w:rsidRDefault="008A4E6E" w:rsidP="00B50EA6">
      <w:pPr>
        <w:rPr>
          <w:b/>
          <w:sz w:val="28"/>
          <w:szCs w:val="28"/>
        </w:rPr>
      </w:pPr>
    </w:p>
    <w:p w:rsidR="00B50EA6" w:rsidRDefault="00B314BC" w:rsidP="00B50E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567C6">
        <w:rPr>
          <w:b/>
          <w:sz w:val="28"/>
          <w:szCs w:val="28"/>
        </w:rPr>
        <w:t>9</w:t>
      </w:r>
      <w:r w:rsidR="00B50EA6">
        <w:rPr>
          <w:b/>
          <w:sz w:val="28"/>
          <w:szCs w:val="28"/>
        </w:rPr>
        <w:t xml:space="preserve"> </w:t>
      </w:r>
      <w:r w:rsidR="002757AF">
        <w:rPr>
          <w:b/>
          <w:sz w:val="28"/>
          <w:szCs w:val="28"/>
        </w:rPr>
        <w:t xml:space="preserve"> </w:t>
      </w:r>
      <w:r w:rsidR="00B50EA6">
        <w:rPr>
          <w:b/>
          <w:sz w:val="28"/>
          <w:szCs w:val="28"/>
        </w:rPr>
        <w:t xml:space="preserve">декабря  2019 </w:t>
      </w:r>
      <w:r w:rsidR="00B50EA6" w:rsidRPr="004F5CBA">
        <w:rPr>
          <w:b/>
          <w:sz w:val="28"/>
          <w:szCs w:val="28"/>
        </w:rPr>
        <w:t xml:space="preserve"> </w:t>
      </w:r>
      <w:r w:rsidR="00B50EA6">
        <w:rPr>
          <w:b/>
          <w:sz w:val="28"/>
          <w:szCs w:val="28"/>
        </w:rPr>
        <w:t>года</w:t>
      </w:r>
      <w:r w:rsidR="00B50EA6" w:rsidRPr="004F5CBA">
        <w:rPr>
          <w:b/>
          <w:sz w:val="28"/>
          <w:szCs w:val="28"/>
        </w:rPr>
        <w:tab/>
        <w:t xml:space="preserve">    </w:t>
      </w:r>
      <w:r w:rsidR="00B50EA6" w:rsidRPr="004F5CBA">
        <w:rPr>
          <w:b/>
          <w:sz w:val="28"/>
          <w:szCs w:val="28"/>
        </w:rPr>
        <w:tab/>
        <w:t xml:space="preserve">                                                     </w:t>
      </w:r>
      <w:r w:rsidR="00B50EA6">
        <w:rPr>
          <w:b/>
          <w:sz w:val="28"/>
          <w:szCs w:val="28"/>
        </w:rPr>
        <w:t xml:space="preserve">                 </w:t>
      </w:r>
      <w:r w:rsidR="002757AF">
        <w:rPr>
          <w:b/>
          <w:sz w:val="28"/>
          <w:szCs w:val="28"/>
        </w:rPr>
        <w:t xml:space="preserve">  </w:t>
      </w:r>
      <w:r w:rsidR="00B50EA6">
        <w:rPr>
          <w:b/>
          <w:sz w:val="28"/>
          <w:szCs w:val="28"/>
        </w:rPr>
        <w:t xml:space="preserve"> </w:t>
      </w:r>
      <w:r w:rsidR="00D567C6">
        <w:rPr>
          <w:b/>
          <w:sz w:val="28"/>
          <w:szCs w:val="28"/>
        </w:rPr>
        <w:t>№73</w:t>
      </w:r>
    </w:p>
    <w:p w:rsidR="00B50EA6" w:rsidRPr="004F5CBA" w:rsidRDefault="00B50EA6" w:rsidP="00B50EA6">
      <w:pPr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50EA6" w:rsidTr="00B50EA6">
        <w:tc>
          <w:tcPr>
            <w:tcW w:w="4503" w:type="dxa"/>
          </w:tcPr>
          <w:p w:rsidR="008A4E6E" w:rsidRDefault="008A4E6E" w:rsidP="00B50EA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0EA6" w:rsidRDefault="00B50EA6" w:rsidP="00D567C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 w:rsidR="00D567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Ездоченского</w:t>
            </w: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Чернянского района Белгородской области</w:t>
            </w:r>
          </w:p>
        </w:tc>
      </w:tr>
    </w:tbl>
    <w:p w:rsidR="00B058A0" w:rsidRDefault="00B058A0" w:rsidP="00196F4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6F47" w:rsidRDefault="00196F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F47" w:rsidRPr="00196F47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от 24.06.1998 № 89-ФЗ «Об отходах производства и потребления»,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</w:t>
      </w:r>
      <w:r w:rsidR="00D567C6">
        <w:rPr>
          <w:rFonts w:ascii="Times New Roman" w:hAnsi="Times New Roman" w:cs="Times New Roman"/>
          <w:sz w:val="28"/>
          <w:szCs w:val="28"/>
          <w:lang w:eastAsia="ru-RU"/>
        </w:rPr>
        <w:t>их реестра»</w:t>
      </w:r>
      <w:r w:rsidR="002021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D567C6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Чернянского района Белгородской области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, в целях упорядочения обустройства мест (площадок) накопления твёрдых коммунальных отходов и ведения их реестра на территории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67C6"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ления, администрация </w:t>
      </w:r>
      <w:r w:rsidR="00D567C6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 Утвердить Порядок определения мест сбора и накопления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1).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 Утвердить Состав 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1F051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544F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(Приложение № 2).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 Утвердить Положение о постоянно действующей комиссии по определению мест размещения контейнерных площадок для сбо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ра ТКО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№ 3).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 Утвердить Регламент создания и ведения реестра мест (площадок) накопления твердых комм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унальных отходов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согласно (Приложение № 4).</w:t>
      </w:r>
    </w:p>
    <w:p w:rsidR="00892CFF" w:rsidRPr="00196F47" w:rsidRDefault="0086571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бнародовать в порядке, установленном Уставом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разместить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на официальном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 сети Интернет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="00712A2E" w:rsidRPr="00196F47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51F" w:rsidRDefault="00B50EA6" w:rsidP="00B50EA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</w:t>
      </w:r>
      <w:r w:rsidR="00920E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администрации </w:t>
      </w:r>
    </w:p>
    <w:p w:rsidR="00B50EA6" w:rsidRPr="00B50EA6" w:rsidRDefault="001F051F" w:rsidP="00B50EA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Ездоченского</w:t>
      </w:r>
      <w:r w:rsidR="00B50E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20E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О.С. Мишурова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28A5" w:rsidRDefault="001828A5" w:rsidP="00920E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EE9" w:rsidRDefault="00920EE9" w:rsidP="00920E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Pr="00196F47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51F" w:rsidRDefault="001F051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F051F" w:rsidRDefault="001F051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F051F" w:rsidRDefault="001F051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F051F" w:rsidRDefault="001F051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F051F" w:rsidRDefault="001F051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92CFF" w:rsidRPr="00B50EA6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892CFF" w:rsidRPr="00B50EA6" w:rsidRDefault="00892CFF" w:rsidP="00B058A0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B50EA6" w:rsidRDefault="001F051F" w:rsidP="00B058A0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Ездоченского</w:t>
      </w:r>
      <w:r w:rsidR="00451A5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449E6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92CFF" w:rsidRPr="00B50EA6" w:rsidRDefault="00865718" w:rsidP="00B058A0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B314BC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1F051F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B50EA6">
        <w:rPr>
          <w:rFonts w:ascii="Times New Roman" w:hAnsi="Times New Roman" w:cs="Times New Roman"/>
          <w:sz w:val="20"/>
          <w:szCs w:val="20"/>
          <w:lang w:eastAsia="ru-RU"/>
        </w:rPr>
        <w:t>.12.</w:t>
      </w:r>
      <w:r w:rsidR="001F051F">
        <w:rPr>
          <w:rFonts w:ascii="Times New Roman" w:hAnsi="Times New Roman" w:cs="Times New Roman"/>
          <w:sz w:val="20"/>
          <w:szCs w:val="20"/>
          <w:lang w:eastAsia="ru-RU"/>
        </w:rPr>
        <w:t>2019 г №73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920E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определения мест сбора и накопления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  <w:r w:rsid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1F051F">
        <w:rPr>
          <w:rFonts w:ascii="Times New Roman" w:hAnsi="Times New Roman" w:cs="Times New Roman"/>
          <w:b/>
          <w:sz w:val="28"/>
          <w:szCs w:val="28"/>
          <w:lang w:eastAsia="ru-RU"/>
        </w:rPr>
        <w:t>Ездоченского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определения мест сбора и накопления твердых коммунальных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(далее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Порядок) устанавливает процедуру определения мест сбора и накопления твердых коммунальных отходов, в том числе крупногабаритных отходов (далее –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ТКО)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1.2. Для определения места сбора и накопления ТКО и включения их в реестр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лицо, юридическое лицо, индивидуальный предприниматель (далее – Заявитель) подает письменную заявку 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постоянно действующей Комиссию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контейнерных площадок для сбора твердых коммунальных отходов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Прием заявок осуществляется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Белгородская область, Чернянский район, </w:t>
      </w:r>
      <w:r w:rsidR="00451A5E">
        <w:rPr>
          <w:rFonts w:ascii="Times New Roman" w:hAnsi="Times New Roman" w:cs="Times New Roman"/>
          <w:sz w:val="28"/>
          <w:szCs w:val="28"/>
          <w:lang w:eastAsia="ru-RU"/>
        </w:rPr>
        <w:t>с. Ездочное, ул. Школьная, д.2/3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Запрещается самовольная установка контейнеров без согласования с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1.6. Допускается временная (на срок до 1 суток) установка контейнеров для сбора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строительных отходов вблизи мест производства ремонтных, аварийных работ и работ по уборке территории, выполняемых юр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идическими и физическими лицами; п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B9726D" w:rsidRPr="00920EE9" w:rsidRDefault="00B9726D" w:rsidP="00920E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2156" w:rsidRDefault="00892CFF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определения мест сбора и накоплен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ия </w:t>
      </w:r>
    </w:p>
    <w:p w:rsidR="00892CFF" w:rsidRPr="00202156" w:rsidRDefault="00202156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 Место сбора и накопления ТКО определяется в соответствии с действующим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2.2. Место для сбора и накопления ТКО определяется на земельном участке с учетом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 эпидемиолог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ические правила и нормативы», СанПиН 42-128-4690-88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Санитарные правила содержания территорий населенных мест» и Правилами благоустройства терри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льного района «Чернянский район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2.3. В целях оценки заявки на предмет соблюдения требований законодательства</w:t>
      </w:r>
      <w:r w:rsidR="00523EB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по Белгородской области в Новооскольском районе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уполномоченного осуществлять федеральный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санитарно-эпидемиологический надзор (далее - надзорный орган). По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2.4. По результатам рассмотрения заявки Комиссия принимает решение о согласовании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отказе в согласовании создания места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2.5. В случае согласования места сбора и накопления ТКО, Комиссией составляется акт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ТКО в соответствии с приложением 2 к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2.6. Акт об определении места для сбора и накопления ТКО утверждается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2.7. Утвержденный акт является основанием для размещения контейнерной площадки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отдельно стоящих контейнеров на определенном месте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2.8. В случае отказа в согласовании создания места для сбора и накопления ТКО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2.9. Основаниями отказа Комиссии в согласовании места для сбора и накопления ТКО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8 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от 31.08.2018 г. №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1039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а) несоответствие заявки установленной форме;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б) несоответствие заявленного места для сбора и накопления ТКО требованиям Правил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благоустройства терри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муниципального района «Чернянский район»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требованиям законодательства Российской Федерации в области санитарно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2.10. После устранения основания отказа в согласовании создания места для сбора 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914" w:rsidRDefault="00422914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914" w:rsidRDefault="00422914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B50EA6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A63C4B" w:rsidRPr="00B50EA6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к Порядку определения</w:t>
      </w:r>
      <w:r w:rsidR="00C86590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мест сбора </w:t>
      </w:r>
    </w:p>
    <w:p w:rsidR="00A63C4B" w:rsidRPr="00B50EA6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и накопления твердых коммуналь</w:t>
      </w:r>
      <w:r w:rsidR="00CC7C42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ных </w:t>
      </w:r>
      <w:r w:rsidR="002B3E9E" w:rsidRPr="00B50EA6">
        <w:rPr>
          <w:rFonts w:ascii="Times New Roman" w:hAnsi="Times New Roman" w:cs="Times New Roman"/>
          <w:sz w:val="20"/>
          <w:szCs w:val="20"/>
          <w:lang w:eastAsia="ru-RU"/>
        </w:rPr>
        <w:t>отходов</w:t>
      </w:r>
    </w:p>
    <w:p w:rsidR="00A63C4B" w:rsidRPr="00B50EA6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1F051F">
        <w:rPr>
          <w:rFonts w:ascii="Times New Roman" w:hAnsi="Times New Roman" w:cs="Times New Roman"/>
          <w:sz w:val="20"/>
          <w:szCs w:val="20"/>
          <w:lang w:eastAsia="ru-RU"/>
        </w:rPr>
        <w:t>Ездоченского</w:t>
      </w:r>
      <w:r w:rsidR="00892CFF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92CFF" w:rsidRPr="00B50EA6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Чернянского района Белгородской области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B42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омисси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</w:t>
      </w:r>
    </w:p>
    <w:p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контейнерных площадок для сбора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451A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63C4B" w:rsidRDefault="00A63C4B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№ 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 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 создании места сбора и накопления ТКО и включения их в реестр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3C4B" w:rsidRDefault="007078D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892CFF" w:rsidRPr="00A63C4B" w:rsidRDefault="00892CFF" w:rsidP="00A63C4B">
      <w:pPr>
        <w:pStyle w:val="a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(для юридических лиц – полное наименование и основной государственный регистрационный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номер записи в Едином государственном реестре юридических лиц, фактический адрес;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для индивидуальных предпринимателей – фамилия, имя, отчество (при наличии), основной государственный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 xml:space="preserve">регистрационный номер записи в Едином государственном реестре </w:t>
      </w:r>
      <w:r w:rsidR="00A63C4B" w:rsidRPr="00A63C4B">
        <w:rPr>
          <w:rFonts w:ascii="Times New Roman" w:hAnsi="Times New Roman" w:cs="Times New Roman"/>
          <w:i/>
          <w:lang w:eastAsia="ru-RU"/>
        </w:rPr>
        <w:t>индивидуальных предпринимателей)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жительства;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жительства, контактные данные)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прошу согласовать место сбора и накопления ТКО, расположенного по адресу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63C4B">
        <w:rPr>
          <w:rFonts w:ascii="Times New Roman" w:hAnsi="Times New Roman" w:cs="Times New Roman"/>
          <w:i/>
          <w:sz w:val="20"/>
          <w:szCs w:val="20"/>
          <w:lang w:eastAsia="ru-RU"/>
        </w:rPr>
        <w:t>почтовый индекс, почтовый адрес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включить его в реестр мест (площадок) накопления твердых коммунальных 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Даю свое согласие на обработку моих персональных данных, указанных в заявке. Согласие действует с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момента подачи заявки до моего письменного отзыва данного согласия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м.п. (подпись заявителя)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2C2CAA" w:rsidRDefault="002C2CA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«___» ___________ 20__ года _________________/ __________/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 Схема размещения мест (площадок) накопления твердых коммунальных отходов с отражением данных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нахождении мест (площадок) накопления твердых коммуналь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масштаба 1:2000;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Данные о технических характеристиках мест (площадок) накопления твердых коммунальных отходов, в том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451A5E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914" w:rsidRDefault="00422914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E9E" w:rsidRDefault="002B3E9E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к Порядку определения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мест сбора и накопления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твердых коммунальных отходов</w:t>
      </w:r>
      <w:r w:rsidR="002B3E9E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 на территории</w:t>
      </w:r>
    </w:p>
    <w:p w:rsidR="00892CFF" w:rsidRPr="00196F47" w:rsidRDefault="001F051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Ездоченского 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АКТ № _______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451A5E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____________ 20___ г.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892CFF" w:rsidRPr="00196F47" w:rsidRDefault="00892CFF" w:rsidP="00466F92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 составления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– 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– 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лением администрации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«Об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утверждении Порядка определения мест сбора и накопления твердых коммунальных отход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ов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Регламента создания и ведения реестра мест (площадок) накопления твердых коммунальных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 основании принятого Комиссией решения, указанного в протоколе заседания комиссии от_______________ № _________, определить местом сбора и накопления ТКО территорию по адресу:____________________________________________________________. Предлагаемый размер земельного участка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м, площадью _____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кв.м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Приложение: схема территории, на которой определено место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 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 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 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2B3E9E" w:rsidRDefault="00A8577E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B3E9E"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2B3E9E" w:rsidRDefault="001F051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Ездоченского 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92CFF" w:rsidRPr="002B3E9E" w:rsidRDefault="00F64C70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2757AF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451A5E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2B3E9E">
        <w:rPr>
          <w:rFonts w:ascii="Times New Roman" w:hAnsi="Times New Roman" w:cs="Times New Roman"/>
          <w:sz w:val="20"/>
          <w:szCs w:val="20"/>
          <w:lang w:eastAsia="ru-RU"/>
        </w:rPr>
        <w:t>.12.</w:t>
      </w:r>
      <w:r w:rsidR="00451A5E">
        <w:rPr>
          <w:rFonts w:ascii="Times New Roman" w:hAnsi="Times New Roman" w:cs="Times New Roman"/>
          <w:sz w:val="20"/>
          <w:szCs w:val="20"/>
          <w:lang w:eastAsia="ru-RU"/>
        </w:rPr>
        <w:t>2019 №73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ОСТАВ</w:t>
      </w:r>
    </w:p>
    <w:p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1F05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Ездоченского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892CFF" w:rsidRPr="00196F47" w:rsidRDefault="001F05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Мишурова Ольга Сергеевна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892CFF" w:rsidRDefault="001F05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Добрышин Василий Николаевич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892CFF" w:rsidRPr="00196F47" w:rsidRDefault="001F05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Рассохина Ольга </w:t>
      </w:r>
      <w:r w:rsidR="00451A5E">
        <w:rPr>
          <w:rFonts w:ascii="Times New Roman" w:hAnsi="Times New Roman" w:cs="Times New Roman"/>
          <w:sz w:val="28"/>
          <w:szCs w:val="28"/>
          <w:lang w:eastAsia="ru-RU"/>
        </w:rPr>
        <w:t>Александровна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 спец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иалист 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 xml:space="preserve">1 категории 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>МКУ «Административно-хозяйственн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>аст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>Чернянского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 Белгородской области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256B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87256B" w:rsidRPr="00196F47" w:rsidRDefault="008C556E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Притулина Ольга Викторовна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специалист, 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управляющая делами администрации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5E92" w:rsidRPr="00196F47" w:rsidRDefault="008C556E" w:rsidP="00E85E9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Сюркова Оксана Ивановна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E9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специалист 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 xml:space="preserve">1 категории МКУ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«Административно-хозяйственная часть Чернянского района» Белгородской области.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1828A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828A5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445CC8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892CFF" w:rsidRPr="001828A5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1828A5" w:rsidRDefault="001F051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449E6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92CFF" w:rsidRPr="001828A5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="00445CC8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C556E">
        <w:rPr>
          <w:rFonts w:ascii="Times New Roman" w:hAnsi="Times New Roman" w:cs="Times New Roman"/>
          <w:sz w:val="20"/>
          <w:szCs w:val="20"/>
          <w:lang w:eastAsia="ru-RU"/>
        </w:rPr>
        <w:t>09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>.12.</w:t>
      </w:r>
      <w:r w:rsidRPr="001828A5">
        <w:rPr>
          <w:rFonts w:ascii="Times New Roman" w:hAnsi="Times New Roman" w:cs="Times New Roman"/>
          <w:sz w:val="20"/>
          <w:szCs w:val="20"/>
          <w:lang w:eastAsia="ru-RU"/>
        </w:rPr>
        <w:t>2019 №</w:t>
      </w:r>
      <w:r w:rsidR="008C556E">
        <w:rPr>
          <w:rFonts w:ascii="Times New Roman" w:hAnsi="Times New Roman" w:cs="Times New Roman"/>
          <w:sz w:val="20"/>
          <w:szCs w:val="20"/>
          <w:lang w:eastAsia="ru-RU"/>
        </w:rPr>
        <w:t>73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466F9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E2B4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1F051F">
        <w:rPr>
          <w:rFonts w:ascii="Times New Roman" w:hAnsi="Times New Roman" w:cs="Times New Roman"/>
          <w:b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остоянно действующ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ая комиссия 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 является коллегиальным о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рганом администрации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создается с целью рассмотрения вопросов, касающихся определения мест сбора и накоплен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ия ТКО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принятия решения об их создании и включении в реестр.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В своей деятельности Комиссия руководствуется Конституцией Российской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федеральными законами и иными нормативными правовыми актами Российской Федерации,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правовыми актами Белгородской области, нормативными правовыми актами Чернянского района,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Уставом муници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а также настоящим Положением.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Комиссия в соответствии с возложенными на нее задачами выполняет следующие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функции: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рассмотрение заявлений и обращений граждан и юридических лиц по вопросу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определения мест сбора и накопления 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организация в случае необходимости выездов на предполагаемые места сбора и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с целью их дальнейшего согласования;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внесение предложений, направленных на определение мест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об определении мест для сбора и накопления ТКО и включении их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реестр, либо решения об отказе в согласовании создания места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уведомление заяви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теля о принятом решении Комиссией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Организацию работы Комиссии определяет председатель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6. Основной формой работы Комиссии являются заседания с осмотром при</w:t>
      </w:r>
      <w:r w:rsidR="00A8567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необходимости территории существующего и предлагаемого места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 Для обеспечения своей работы Комиссия имеет право привлекать к работе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специалистов других организаций, предприятий или служб, не являющихся членами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8. Заседания Комиссии проводятся по мере необходимости.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 Комиссия правомочна принимать решения при участии в ее работе не менее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половины от общего числа ее членов.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10. Решение об определении места для сбора и накопления ТКО принимается простым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большинством голосов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присутствующих членов Комиссии. При равенстве голосов, голос председателя Комиссии является решающим.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11. При отсутствии председателя Комиссии по причине очередного отпуска,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12. Результаты работы Комиссии оформляются актом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13. Утвержденный Акт об определении места сбора и накопления твердых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передается для включения в реестр мест (площадок) накопления твердых коммунальных отходов на территории муници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451A5E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в орган администрации </w:t>
      </w:r>
      <w:r w:rsidR="00451A5E">
        <w:rPr>
          <w:rFonts w:ascii="Times New Roman" w:hAnsi="Times New Roman" w:cs="Times New Roman"/>
          <w:sz w:val="28"/>
          <w:szCs w:val="28"/>
          <w:lang w:eastAsia="ru-RU"/>
        </w:rPr>
        <w:t xml:space="preserve">Ездоченского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уполномоченный на ведение данного реестра не позднее одного рабочего дня со дня его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14. Приемка заявок, подготовка заседаний Комиссии, организация при необходимости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моченный орган администрации </w:t>
      </w:r>
      <w:r w:rsidR="00451A5E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для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81F" w:rsidRDefault="0087481F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828A5" w:rsidRDefault="005D501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892CFF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828A5" w:rsidRPr="001828A5">
        <w:rPr>
          <w:rFonts w:ascii="Times New Roman" w:hAnsi="Times New Roman" w:cs="Times New Roman"/>
          <w:sz w:val="20"/>
          <w:szCs w:val="20"/>
          <w:lang w:eastAsia="ru-RU"/>
        </w:rPr>
        <w:t>4</w:t>
      </w:r>
    </w:p>
    <w:p w:rsidR="00892CFF" w:rsidRPr="001828A5" w:rsidRDefault="00892CF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1828A5" w:rsidRDefault="001F051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449E6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92CFF" w:rsidRPr="001828A5" w:rsidRDefault="005D501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8C556E">
        <w:rPr>
          <w:rFonts w:ascii="Times New Roman" w:hAnsi="Times New Roman" w:cs="Times New Roman"/>
          <w:sz w:val="20"/>
          <w:szCs w:val="20"/>
          <w:lang w:eastAsia="ru-RU"/>
        </w:rPr>
        <w:t>09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>.12.</w:t>
      </w:r>
      <w:r w:rsidR="00892CFF" w:rsidRPr="001828A5">
        <w:rPr>
          <w:rFonts w:ascii="Times New Roman" w:hAnsi="Times New Roman" w:cs="Times New Roman"/>
          <w:sz w:val="20"/>
          <w:szCs w:val="20"/>
          <w:lang w:eastAsia="ru-RU"/>
        </w:rPr>
        <w:t>2019 г №</w:t>
      </w:r>
      <w:r w:rsidR="008C556E">
        <w:rPr>
          <w:rFonts w:ascii="Times New Roman" w:hAnsi="Times New Roman" w:cs="Times New Roman"/>
          <w:sz w:val="20"/>
          <w:szCs w:val="20"/>
          <w:lang w:eastAsia="ru-RU"/>
        </w:rPr>
        <w:t>73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создания и ведения реестра мест (площадок) накопления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</w:t>
      </w:r>
      <w:r w:rsidR="005D501F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1F051F">
        <w:rPr>
          <w:rFonts w:ascii="Times New Roman" w:hAnsi="Times New Roman" w:cs="Times New Roman"/>
          <w:b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ельского</w:t>
      </w:r>
      <w:r w:rsidR="005D501F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1.1. Создание и ведение реестра мест (площадок) накопления твердых коммунальных</w:t>
      </w:r>
      <w:r w:rsidR="005D501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тного самоуправления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1.2. Реестр представляет собой базу данных о местах (площадках) накопления твердых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и ведется на бумажном носителе и в электронном виде.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Уполномоченным органом по созданию и ведению реестра является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(далее - администрация).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1.4. Реестр 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>создается и ведется на основании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в администрацию для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включения в реестр утвержденных Актов об определении места сбора и накопления твердых коммунальных о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Реестр ведется на государственном языке Российской Федерации.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22D8" w:rsidRPr="00196F47" w:rsidRDefault="008222D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2. Содержание реестра мес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т (площадок) накопления твердых к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оммунальных отходов на</w:t>
      </w:r>
      <w:r w:rsidR="008222D8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 </w:t>
      </w:r>
      <w:r w:rsidR="00451A5E">
        <w:rPr>
          <w:rFonts w:ascii="Times New Roman" w:hAnsi="Times New Roman" w:cs="Times New Roman"/>
          <w:b/>
          <w:sz w:val="28"/>
          <w:szCs w:val="28"/>
          <w:lang w:eastAsia="ru-RU"/>
        </w:rPr>
        <w:t>Ездоченского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547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B52547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</w:t>
      </w:r>
      <w:r w:rsidR="00B5254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2.1.1. Данные о нахождении мест (площадок) накопления твердых коммунальных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адресе и (или) географических координатах мест (площадок) накопления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схема размещения мест (площадок) накопления твердых коммунальных отходов с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отражением данных о нахождении мест (площадок) накопления твердых коммуналь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масштаба 1:2000.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2.1.2. Данные о технических характеристиках мест (площадок) накопления твердых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используемом покрытии, площади, количестве размещенных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планируемых к размещению контейнеров и бункеров с указанием их объема. При этом информация о размещенных и планируемых к размещению контейнерах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бункерах с указанием их объема формируется на основании информации, предоставляемой региональным оператором по обращению с твердыми коммунальными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2.1.3. Данные о собственниках мест (площадок) накопления твердых коммунальных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содержащие сведения: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юридических лиц – полное наименование и основной государственный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записи в Едином государственном реестре юридических лиц, фактический адрес;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индивидуальных предпринимателей – фамилия, имя, отчество, основной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физических лиц – фамилия, имя, отчество, серия, номер и дата выдачи паспорта</w:t>
      </w:r>
      <w:r w:rsidR="00FF117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2.1.4. Данные об источниках образования твердых коммунальных отходов, которые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складируются в местах (на площадках) накопления твердых коммунальных отходов,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содержащие сведения об одном или нескольких объектах капитального строительства,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территори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451A5E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Сведения в реестр вносятся администрацией в течение 5 рабочих дней со дня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принятия Комиссией решения о внесении в него сведений о создании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В течение 10 рабочих дней со дня внесения в реестр сведений о создании места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(площадки) накопления твердых коммунальных отходов такие сведения размещаются администрацией на официальном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451A5E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449E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должны быть доступны для ознакомления неограниченному кругу лиц без взимания платы.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Контроль исполнения мероприятий по созданию и ведению реестра обеспечивает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52547" w:rsidSect="005B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к Регламенту создания и ведения реестра </w:t>
      </w: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мест (площадок) накопления ТКО</w:t>
      </w: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1F051F">
        <w:rPr>
          <w:rFonts w:ascii="Times New Roman" w:hAnsi="Times New Roman" w:cs="Times New Roman"/>
          <w:sz w:val="20"/>
          <w:szCs w:val="20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828A5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B52547" w:rsidRDefault="00B52547" w:rsidP="00B52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00" w:rsidRDefault="00D35C00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2547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1F051F">
        <w:rPr>
          <w:rFonts w:ascii="Times New Roman" w:hAnsi="Times New Roman" w:cs="Times New Roman"/>
          <w:b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"/>
        <w:gridCol w:w="3256"/>
        <w:gridCol w:w="4111"/>
        <w:gridCol w:w="2693"/>
        <w:gridCol w:w="3905"/>
      </w:tblGrid>
      <w:tr w:rsidR="00B52547" w:rsidRPr="00B52547" w:rsidTr="00B52547">
        <w:tc>
          <w:tcPr>
            <w:tcW w:w="821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256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52547" w:rsidRDefault="00B52547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BD5" w:rsidRPr="00D35C00" w:rsidRDefault="00F918CC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Приложение: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1F051F"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="008C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масштаба 1:2000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581BD5" w:rsidRPr="00D35C00" w:rsidSect="00B52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FF"/>
    <w:rsid w:val="000B325C"/>
    <w:rsid w:val="00104E53"/>
    <w:rsid w:val="00143A22"/>
    <w:rsid w:val="0015116A"/>
    <w:rsid w:val="001828A5"/>
    <w:rsid w:val="00196F47"/>
    <w:rsid w:val="001F051F"/>
    <w:rsid w:val="00202156"/>
    <w:rsid w:val="002757AF"/>
    <w:rsid w:val="00292BD3"/>
    <w:rsid w:val="002B3E9E"/>
    <w:rsid w:val="002C2CAA"/>
    <w:rsid w:val="0032236B"/>
    <w:rsid w:val="0037211A"/>
    <w:rsid w:val="00395941"/>
    <w:rsid w:val="003A07B9"/>
    <w:rsid w:val="00422914"/>
    <w:rsid w:val="00445CC8"/>
    <w:rsid w:val="00451A5E"/>
    <w:rsid w:val="00466F92"/>
    <w:rsid w:val="00507996"/>
    <w:rsid w:val="00523EB0"/>
    <w:rsid w:val="005630E4"/>
    <w:rsid w:val="00581BD5"/>
    <w:rsid w:val="005B2865"/>
    <w:rsid w:val="005D501F"/>
    <w:rsid w:val="005E55EB"/>
    <w:rsid w:val="006530CE"/>
    <w:rsid w:val="00691B2E"/>
    <w:rsid w:val="006C4E12"/>
    <w:rsid w:val="006D43F4"/>
    <w:rsid w:val="007078D1"/>
    <w:rsid w:val="00712A2E"/>
    <w:rsid w:val="00804074"/>
    <w:rsid w:val="008222D8"/>
    <w:rsid w:val="008262CE"/>
    <w:rsid w:val="00833A01"/>
    <w:rsid w:val="008449E6"/>
    <w:rsid w:val="00865718"/>
    <w:rsid w:val="0087256B"/>
    <w:rsid w:val="0087481F"/>
    <w:rsid w:val="00876165"/>
    <w:rsid w:val="00892CFF"/>
    <w:rsid w:val="008A4E6E"/>
    <w:rsid w:val="008C556E"/>
    <w:rsid w:val="008F5ABF"/>
    <w:rsid w:val="00906D90"/>
    <w:rsid w:val="00920EE9"/>
    <w:rsid w:val="009544F5"/>
    <w:rsid w:val="00963E88"/>
    <w:rsid w:val="00974840"/>
    <w:rsid w:val="009D6BFE"/>
    <w:rsid w:val="00A53EEF"/>
    <w:rsid w:val="00A63C4B"/>
    <w:rsid w:val="00A85677"/>
    <w:rsid w:val="00A8577E"/>
    <w:rsid w:val="00AC4DB3"/>
    <w:rsid w:val="00AF5124"/>
    <w:rsid w:val="00B058A0"/>
    <w:rsid w:val="00B076CC"/>
    <w:rsid w:val="00B314BC"/>
    <w:rsid w:val="00B50EA6"/>
    <w:rsid w:val="00B52547"/>
    <w:rsid w:val="00B76F88"/>
    <w:rsid w:val="00B9726D"/>
    <w:rsid w:val="00BD437D"/>
    <w:rsid w:val="00C83E56"/>
    <w:rsid w:val="00C86590"/>
    <w:rsid w:val="00C94B79"/>
    <w:rsid w:val="00CC7C42"/>
    <w:rsid w:val="00CD138F"/>
    <w:rsid w:val="00CF5259"/>
    <w:rsid w:val="00D1282B"/>
    <w:rsid w:val="00D35C00"/>
    <w:rsid w:val="00D567C6"/>
    <w:rsid w:val="00D954A1"/>
    <w:rsid w:val="00DC2885"/>
    <w:rsid w:val="00DC48B7"/>
    <w:rsid w:val="00E730AF"/>
    <w:rsid w:val="00E85E92"/>
    <w:rsid w:val="00EE2B42"/>
    <w:rsid w:val="00F64C70"/>
    <w:rsid w:val="00F766AD"/>
    <w:rsid w:val="00F918CC"/>
    <w:rsid w:val="00FF117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B50EA6"/>
    <w:pPr>
      <w:spacing w:after="120"/>
    </w:pPr>
    <w:rPr>
      <w:kern w:val="18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50EA6"/>
    <w:rPr>
      <w:rFonts w:ascii="Times New Roman" w:eastAsia="Times New Roman" w:hAnsi="Times New Roman" w:cs="Times New Roman"/>
      <w:kern w:val="1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B50EA6"/>
    <w:pPr>
      <w:spacing w:after="120"/>
    </w:pPr>
    <w:rPr>
      <w:kern w:val="18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50EA6"/>
    <w:rPr>
      <w:rFonts w:ascii="Times New Roman" w:eastAsia="Times New Roman" w:hAnsi="Times New Roman" w:cs="Times New Roman"/>
      <w:kern w:val="1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7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71316467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4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0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96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3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1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58D7-85F3-48EC-A012-FA136690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2019-12-04T07:47:00Z</cp:lastPrinted>
  <dcterms:created xsi:type="dcterms:W3CDTF">2020-02-07T09:44:00Z</dcterms:created>
  <dcterms:modified xsi:type="dcterms:W3CDTF">2020-02-07T09:44:00Z</dcterms:modified>
</cp:coreProperties>
</file>